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02"/>
        <w:ind w:right="-283"/>
        <w:jc w:val="right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Приложение 1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2"/>
        <w:ind w:right="-283"/>
        <w:jc w:val="right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к дополнительному соглашению от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7.05.2026 № 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2"/>
        <w:ind w:right="-283"/>
        <w:jc w:val="right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 к тарифному соглашению о реализации Территориальной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2"/>
        <w:ind w:right="-283"/>
        <w:jc w:val="right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программы обязательного медицинского страхования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2"/>
        <w:ind w:right="-283"/>
        <w:jc w:val="right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Ставропольского края на 2026 год от 26.03.2026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2"/>
        <w:ind w:right="-284"/>
        <w:jc w:val="right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2"/>
        <w:ind w:right="-284"/>
        <w:jc w:val="right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«Приложение 6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2"/>
        <w:ind w:right="-284"/>
        <w:jc w:val="right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к тарифному соглашению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2"/>
        <w:ind w:right="-284"/>
        <w:jc w:val="right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в сфере обязательного медицинского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2"/>
        <w:ind w:right="-284"/>
        <w:jc w:val="right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страхования на территории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2"/>
        <w:ind w:right="-284"/>
        <w:jc w:val="right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2"/>
        <w:ind w:right="-284"/>
        <w:jc w:val="right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от 26 марта 2026 года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2"/>
        <w:ind w:right="-284"/>
        <w:jc w:val="right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2"/>
        <w:ind w:right="-284"/>
        <w:jc w:val="right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jc w:val="center"/>
        <w:spacing w:before="0" w:beforeAutospacing="0" w:after="0" w:afterAutospacing="0" w:line="240" w:lineRule="exact"/>
        <w:rPr>
          <w:b/>
          <w:bCs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bCs/>
          <w:sz w:val="28"/>
          <w:szCs w:val="28"/>
        </w:rPr>
        <w:t xml:space="preserve">ТАРИФЫ</w:t>
      </w:r>
      <w:r>
        <w:rPr>
          <w:b/>
          <w:bCs/>
          <w:sz w:val="28"/>
          <w:szCs w:val="28"/>
        </w:rPr>
        <w:br/>
      </w:r>
      <w:r>
        <w:rPr>
          <w:rFonts w:eastAsia="Arial"/>
          <w:b/>
          <w:sz w:val="28"/>
          <w:szCs w:val="28"/>
        </w:rPr>
        <w:t xml:space="preserve">НА ОПЛАТУ МЕДИЦИНСКИХ УСЛУГ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04"/>
        <w:jc w:val="center"/>
        <w:spacing w:before="0" w:beforeAutospacing="0" w:after="0" w:afterAutospacing="0" w:line="240" w:lineRule="exact"/>
        <w:rPr>
          <w:b/>
          <w:bCs/>
          <w:sz w:val="28"/>
          <w:szCs w:val="28"/>
          <w:vertAlign w:val="superscript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bCs/>
          <w:sz w:val="28"/>
          <w:szCs w:val="28"/>
        </w:rPr>
        <w:t xml:space="preserve">ПРИ</w:t>
      </w:r>
      <w:r>
        <w:rPr>
          <w:b/>
          <w:bCs/>
          <w:sz w:val="28"/>
          <w:szCs w:val="28"/>
        </w:rPr>
        <w:t xml:space="preserve"> ПРОВЕДЕНИ</w:t>
      </w:r>
      <w:r>
        <w:rPr>
          <w:b/>
          <w:bCs/>
          <w:sz w:val="28"/>
          <w:szCs w:val="28"/>
        </w:rPr>
        <w:t xml:space="preserve">И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ДИСПАНСЕРНОГО НАБЛЮДЕНИЯ</w:t>
      </w:r>
      <w:r>
        <w:rPr>
          <w:rStyle w:val="887"/>
          <w:b/>
          <w:bCs/>
          <w:sz w:val="28"/>
          <w:szCs w:val="28"/>
        </w:rPr>
        <w:footnoteReference w:id="2"/>
      </w:r>
      <w:r>
        <w:rPr>
          <w:b/>
          <w:bCs/>
          <w:sz w:val="28"/>
          <w:szCs w:val="28"/>
          <w:vertAlign w:val="superscript"/>
        </w:rPr>
      </w:r>
      <w:r>
        <w:rPr>
          <w:b/>
          <w:bCs/>
          <w:sz w:val="28"/>
          <w:szCs w:val="28"/>
          <w:vertAlign w:val="superscript"/>
        </w:rPr>
      </w:r>
    </w:p>
    <w:p>
      <w:pPr>
        <w:pStyle w:val="902"/>
        <w:ind w:right="-284"/>
        <w:jc w:val="right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2"/>
        <w:ind w:right="-284"/>
        <w:jc w:val="right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2"/>
        <w:ind w:right="-284"/>
        <w:jc w:val="right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Таблица 1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2"/>
        <w:ind w:right="-143"/>
        <w:jc w:val="both"/>
      </w:pPr>
      <w:r/>
      <w:r/>
    </w:p>
    <w:p>
      <w:pPr>
        <w:ind w:right="-141"/>
        <w:jc w:val="center"/>
        <w:spacing w:line="240" w:lineRule="exact"/>
        <w:widowControl w:val="off"/>
        <w:rPr>
          <w:rFonts w:ascii="Times New Roman" w:hAnsi="Times New Roman" w:eastAsia="Arial" w:cs="Times New Roman"/>
          <w:b/>
          <w:sz w:val="28"/>
          <w:szCs w:val="28"/>
        </w:rPr>
      </w:pPr>
      <w:r/>
      <w:bookmarkStart w:id="0" w:name="P11469"/>
      <w:r/>
      <w:bookmarkEnd w:id="0"/>
      <w:r>
        <w:rPr>
          <w:rFonts w:ascii="Times New Roman" w:hAnsi="Times New Roman" w:eastAsia="Arial" w:cs="Times New Roman"/>
          <w:b/>
          <w:sz w:val="28"/>
          <w:szCs w:val="28"/>
        </w:rPr>
        <w:t xml:space="preserve">Комплексные посещения </w:t>
      </w:r>
      <w:r>
        <w:rPr>
          <w:rFonts w:ascii="Times New Roman" w:hAnsi="Times New Roman" w:eastAsia="Arial" w:cs="Times New Roman"/>
          <w:b/>
          <w:sz w:val="28"/>
          <w:szCs w:val="28"/>
        </w:rPr>
        <w:t xml:space="preserve">по</w:t>
      </w:r>
      <w:r>
        <w:rPr>
          <w:rFonts w:ascii="Times New Roman" w:hAnsi="Times New Roman" w:eastAsia="Arial" w:cs="Times New Roman"/>
          <w:b/>
          <w:sz w:val="28"/>
          <w:szCs w:val="28"/>
        </w:rPr>
        <w:t xml:space="preserve"> диспансерно</w:t>
      </w:r>
      <w:r>
        <w:rPr>
          <w:rFonts w:ascii="Times New Roman" w:hAnsi="Times New Roman" w:eastAsia="Arial" w:cs="Times New Roman"/>
          <w:b/>
          <w:sz w:val="28"/>
          <w:szCs w:val="28"/>
        </w:rPr>
        <w:t xml:space="preserve">му</w:t>
      </w:r>
      <w:r>
        <w:rPr>
          <w:rFonts w:ascii="Times New Roman" w:hAnsi="Times New Roman" w:eastAsia="Arial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Arial" w:cs="Times New Roman"/>
          <w:b/>
          <w:sz w:val="28"/>
          <w:szCs w:val="28"/>
        </w:rPr>
        <w:t xml:space="preserve">наблюдению</w:t>
      </w:r>
      <w:r>
        <w:rPr>
          <w:rFonts w:ascii="Times New Roman" w:hAnsi="Times New Roman" w:eastAsia="Arial" w:cs="Times New Roman"/>
          <w:b/>
          <w:sz w:val="28"/>
          <w:szCs w:val="28"/>
        </w:rPr>
      </w:r>
      <w:r>
        <w:rPr>
          <w:rFonts w:ascii="Times New Roman" w:hAnsi="Times New Roman" w:eastAsia="Arial" w:cs="Times New Roman"/>
          <w:b/>
          <w:sz w:val="28"/>
          <w:szCs w:val="28"/>
        </w:rPr>
      </w:r>
    </w:p>
    <w:p>
      <w:pPr>
        <w:pStyle w:val="902"/>
        <w:ind w:right="-14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(рублей)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977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702"/>
        <w:gridCol w:w="2552"/>
        <w:gridCol w:w="6380"/>
        <w:gridCol w:w="144"/>
      </w:tblGrid>
      <w:tr>
        <w:tblPrEx/>
        <w:trPr>
          <w:tblHeader/>
        </w:trPr>
        <w:tc>
          <w:tcPr>
            <w:tcW w:w="702" w:type="dxa"/>
            <w:vAlign w:val="center"/>
            <w:vMerge w:val="restart"/>
            <w:textDirection w:val="lrTb"/>
            <w:noWrap w:val="false"/>
          </w:tcPr>
          <w:p>
            <w:pPr>
              <w:pStyle w:val="902"/>
              <w:jc w:val="center"/>
            </w:pPr>
            <w:r>
              <w:t xml:space="preserve">№ стр.</w:t>
            </w:r>
            <w:r/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pStyle w:val="902"/>
              <w:jc w:val="center"/>
            </w:pPr>
            <w:r>
              <w:t xml:space="preserve">Код услуги в системе ОМС</w:t>
            </w:r>
            <w:r/>
          </w:p>
        </w:tc>
        <w:tc>
          <w:tcPr>
            <w:tcW w:w="6380" w:type="dxa"/>
            <w:vAlign w:val="center"/>
            <w:textDirection w:val="lrTb"/>
            <w:noWrap w:val="false"/>
          </w:tcPr>
          <w:p>
            <w:pPr>
              <w:pStyle w:val="902"/>
              <w:jc w:val="center"/>
            </w:pPr>
            <w:r>
              <w:t xml:space="preserve">Наименование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144" w:type="dxa"/>
            <w:textDirection w:val="lrTb"/>
            <w:noWrap w:val="false"/>
          </w:tcPr>
          <w:p>
            <w:pPr>
              <w:pStyle w:val="902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</w:r>
            <w:r>
              <w:rPr>
                <w:rFonts w:eastAsia="Times New Roman"/>
                <w:szCs w:val="24"/>
              </w:rPr>
            </w:r>
            <w:r>
              <w:rPr>
                <w:rFonts w:eastAsia="Times New Roman"/>
                <w:szCs w:val="24"/>
              </w:rPr>
            </w:r>
          </w:p>
        </w:tc>
      </w:tr>
      <w:tr>
        <w:tblPrEx/>
        <w:trPr>
          <w:trHeight w:val="295"/>
          <w:tblHeader/>
        </w:trPr>
        <w:tc>
          <w:tcPr>
            <w:tcW w:w="702" w:type="dxa"/>
            <w:vAlign w:val="center"/>
            <w:vMerge w:val="continue"/>
            <w:textDirection w:val="lrTb"/>
            <w:noWrap w:val="false"/>
          </w:tcPr>
          <w:p>
            <w:pPr>
              <w:pStyle w:val="902"/>
            </w:pPr>
            <w:r/>
            <w:r/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pStyle w:val="902"/>
              <w:jc w:val="center"/>
              <w:spacing w:line="240" w:lineRule="exact"/>
            </w:pPr>
            <w:r>
              <w:t xml:space="preserve">1</w:t>
            </w:r>
            <w:r/>
          </w:p>
        </w:tc>
        <w:tc>
          <w:tcPr>
            <w:tcW w:w="6380" w:type="dxa"/>
            <w:vAlign w:val="center"/>
            <w:textDirection w:val="lrTb"/>
            <w:noWrap w:val="false"/>
          </w:tcPr>
          <w:p>
            <w:pPr>
              <w:pStyle w:val="902"/>
              <w:jc w:val="center"/>
              <w:spacing w:line="240" w:lineRule="exact"/>
            </w:pPr>
            <w:r>
              <w:t xml:space="preserve">2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144" w:type="dxa"/>
            <w:textDirection w:val="lrTb"/>
            <w:noWrap w:val="false"/>
          </w:tcPr>
          <w:p>
            <w:pPr>
              <w:pStyle w:val="902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</w:r>
            <w:r>
              <w:rPr>
                <w:rFonts w:eastAsia="Times New Roman"/>
                <w:szCs w:val="24"/>
              </w:rPr>
            </w:r>
            <w:r>
              <w:rPr>
                <w:rFonts w:eastAsia="Times New Roman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2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1"/>
              </w:numPr>
              <w:ind w:left="217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B04.027.003.001.002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638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Диспансерное посещение (осмотр, консультация)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(взрослые)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по поводу онкологических заболеваний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14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2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1"/>
              </w:numPr>
              <w:ind w:left="217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pStyle w:val="902"/>
              <w:jc w:val="center"/>
            </w:pPr>
            <w:r>
              <w:t xml:space="preserve">B04.058.003.001.004</w:t>
            </w:r>
            <w:r/>
          </w:p>
        </w:tc>
        <w:tc>
          <w:tcPr>
            <w:tcW w:w="638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Диспансерное посещение (осмотр, консультация) (взрослые) по поводу сахарного диабета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14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W w:w="702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1"/>
              </w:numPr>
              <w:ind w:left="217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Borders>
              <w:bottom w:val="single" w:color="auto" w:sz="4" w:space="0"/>
            </w:tcBorders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B04.047.003.001.003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638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Диспансерное посещение (осмотр, консультация)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(взрослые)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по поводу болезней системы кровообращения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14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2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1"/>
              </w:numPr>
              <w:ind w:left="217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B04.047.011.001.001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638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Диспансерное посещение (осмотр, консультация) (взрослые) по поводу иных заболеваний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14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2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1"/>
              </w:numPr>
              <w:ind w:left="217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B04.031.017.003.202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638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Диспансерное посещение (осмотр, консультация) детей, проживающих в организациях социального обслуживания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14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</w:tr>
    </w:tbl>
    <w:p>
      <w:r/>
      <w:r/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Таблица </w:t>
      </w:r>
      <w:r>
        <w:rPr>
          <w:rFonts w:ascii="Times New Roman" w:hAnsi="Times New Roman" w:cs="Times New Roman"/>
          <w:sz w:val="28"/>
        </w:rPr>
        <w:t xml:space="preserve">2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04"/>
        <w:jc w:val="center"/>
        <w:spacing w:before="0" w:beforeAutospacing="0" w:after="0" w:afterAutospacing="0"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Тарифы медицинских </w:t>
      </w:r>
      <w:r>
        <w:rPr>
          <w:b/>
          <w:bCs/>
          <w:sz w:val="28"/>
          <w:szCs w:val="28"/>
        </w:rPr>
        <w:t xml:space="preserve">услуг</w:t>
      </w:r>
      <w:r>
        <w:rPr>
          <w:b/>
          <w:bCs/>
          <w:sz w:val="28"/>
          <w:szCs w:val="28"/>
        </w:rPr>
        <w:t xml:space="preserve">, входящих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в комплексное посещение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04"/>
        <w:jc w:val="center"/>
        <w:spacing w:before="0" w:beforeAutospacing="0" w:after="0" w:afterAutospacing="0"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 проведению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диспансерного наблюдения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 xml:space="preserve">(рублей)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1004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704"/>
        <w:gridCol w:w="2552"/>
        <w:gridCol w:w="4536"/>
        <w:gridCol w:w="1842"/>
        <w:gridCol w:w="332"/>
        <w:gridCol w:w="80"/>
      </w:tblGrid>
      <w:tr>
        <w:tblPrEx/>
        <w:trPr>
          <w:gridAfter w:val="1"/>
          <w:tblHeader/>
        </w:trPr>
        <w:tc>
          <w:tcPr>
            <w:tcW w:w="704" w:type="dxa"/>
            <w:vAlign w:val="center"/>
            <w:vMerge w:val="restart"/>
            <w:textDirection w:val="lrTb"/>
            <w:noWrap w:val="false"/>
          </w:tcPr>
          <w:p>
            <w:pPr>
              <w:pStyle w:val="902"/>
              <w:jc w:val="center"/>
            </w:pPr>
            <w:r>
              <w:t xml:space="preserve">№ стр.</w:t>
            </w:r>
            <w:r/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pStyle w:val="902"/>
              <w:jc w:val="center"/>
            </w:pPr>
            <w:r>
              <w:t xml:space="preserve">Код услуги в системе ОМС</w:t>
            </w:r>
            <w:r/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pStyle w:val="902"/>
              <w:jc w:val="center"/>
            </w:pPr>
            <w:r>
              <w:t xml:space="preserve">Наименование</w:t>
            </w:r>
            <w:r/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pStyle w:val="902"/>
              <w:jc w:val="center"/>
              <w:rPr>
                <w:szCs w:val="24"/>
              </w:rPr>
            </w:pPr>
            <w:r>
              <w:rPr>
                <w:rFonts w:eastAsia="Times New Roman"/>
                <w:szCs w:val="24"/>
              </w:rPr>
              <w:t xml:space="preserve">Тариф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332" w:type="dxa"/>
            <w:textDirection w:val="lrTb"/>
            <w:noWrap w:val="false"/>
          </w:tcPr>
          <w:p>
            <w:pPr>
              <w:pStyle w:val="902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</w:r>
            <w:r>
              <w:rPr>
                <w:rFonts w:eastAsia="Times New Roman"/>
                <w:szCs w:val="24"/>
              </w:rPr>
            </w:r>
            <w:r>
              <w:rPr>
                <w:rFonts w:eastAsia="Times New Roman"/>
                <w:szCs w:val="24"/>
              </w:rPr>
            </w:r>
          </w:p>
        </w:tc>
      </w:tr>
      <w:tr>
        <w:tblPrEx/>
        <w:trPr>
          <w:gridAfter w:val="1"/>
          <w:trHeight w:val="20"/>
          <w:tblHeader/>
        </w:trPr>
        <w:tc>
          <w:tcPr>
            <w:tcW w:w="704" w:type="dxa"/>
            <w:vMerge w:val="continue"/>
            <w:textDirection w:val="lrTb"/>
            <w:noWrap w:val="false"/>
          </w:tcPr>
          <w:p>
            <w:pPr>
              <w:pStyle w:val="902"/>
            </w:pPr>
            <w:r/>
            <w:r/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pStyle w:val="902"/>
              <w:jc w:val="center"/>
            </w:pPr>
            <w:r>
              <w:t xml:space="preserve">1</w:t>
            </w:r>
            <w:r/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pStyle w:val="902"/>
              <w:jc w:val="center"/>
            </w:pPr>
            <w:r>
              <w:t xml:space="preserve">2</w:t>
            </w:r>
            <w:r/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pStyle w:val="902"/>
              <w:jc w:val="center"/>
              <w:rPr>
                <w:szCs w:val="24"/>
              </w:rPr>
            </w:pPr>
            <w:r>
              <w:rPr>
                <w:rFonts w:eastAsia="Times New Roman"/>
                <w:szCs w:val="24"/>
              </w:rPr>
              <w:t xml:space="preserve">3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332" w:type="dxa"/>
            <w:textDirection w:val="lrTb"/>
            <w:noWrap w:val="false"/>
          </w:tcPr>
          <w:p>
            <w:pPr>
              <w:pStyle w:val="902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</w:r>
            <w:r>
              <w:rPr>
                <w:rFonts w:eastAsia="Times New Roman"/>
                <w:szCs w:val="24"/>
              </w:rPr>
            </w:r>
            <w:r>
              <w:rPr>
                <w:rFonts w:eastAsia="Times New Roman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B04.047.003.040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Диспансерный прием (осмотр, консультация) врача-терапевта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601,82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B04.050.001.040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Диспансерный прием (осмотр, консультация) врача - травматолога-ортопеда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641,15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B04.001.001.040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Диспансерный прием (осмотр, консультация) врача - акушера-гинеколога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840,11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B04.027.001.040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Диспансерный прием (осмотр, консультация) врача-онколога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641,15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B04.008.001.040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Диспансерный прием (осмотр, консультация) врача-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дерматовенеролога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516,97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B04.014.002.040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Диспансерный прием (осмотр, консультация) врача-инфекциониста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903,50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B04.015.003.040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Диспансерный прием (осмотр, консультация) врача-кардиолога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685,26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B04.023.001.040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Диспансерный прием (осмотр, консультация) врача-невролога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713,96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B04.028.001.040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Диспансерный прием (осмотр, консультация) врача-оториноларинголога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499,66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B04.029.001.040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Диспансерный прием (осмотр, консультация) врача-офтальмолога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428,32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B04.065.001.040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Диспансерный прием (осмотр, консультация) врача-стоматолога-терапевта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323,54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B04.053.001.040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Диспансерный прием (осмотр, консультация) врача-уролога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518,80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B04.057.001.040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Диспансерный прием (осмотр, консультация) врача-хирурга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641,15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B04.058.040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Диспансерный прием (осмотр, консультация) врача-эндокринолога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1238,11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A05.10.006.040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Регистрация, расшифровка, описание и интерпретация электрокардиографических данных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473,05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A09.05.020.040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Исследование уровня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креатинина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крови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209,96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A09.05.028.040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Исследование уровня холестерина липопротеинов низкой плотности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234,67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A09.28.003.001.040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Определение альбумина в моче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365,06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A04.10.002.040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Эхокардиография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699,46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A05.10.008.040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Холтеровское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мониторирование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сердечного ритма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1365,87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A09.05.256.040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Исследования уровня N-терминального фрагмента натрийуретического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пропептида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мозгового (NT-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proBNP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в крови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786,10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B03.016.003.040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Общий (клинический) анализ крови развернутый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558,44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A09.05.042.040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Определение активности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аланинаминотрансферазы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крови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219,67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A09.05.041.040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Определение активности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аспартатаминотрансферазы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крови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219,67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A09.05.021.040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Исследование уровня общего билирубина в крови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158,20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A09.05.011.040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Исследование уровня альбумина в крови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145,78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A09.05.023.040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Исследование уровня глюкозы в крови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145,15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A09.05.010.040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Исследование уровня общего белка в крови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146,51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A04.12.005.003.040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Дуплексное сканирование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брахиоцефальных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артерий с цветным допплеровским картированием кровотока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822,93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A09.05.025.040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Исследование уровня триглицеридов в крови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135,35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A09.05.083.040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Исследование уровня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гликированного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гемоглобина в крови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481,00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499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A12.22.005.040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глюкозотолерантного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теста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274,53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A03.16.001.040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Эзофагогастродуоденоскопия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1158,91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A11.16.002.040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Биопсия желудка с помощью эндоскопии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2570,21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A09.05.008.040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Исследование уровня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трансферрина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сыворотки крови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253,71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A12.09.005.040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Пульсоксиметрия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67,44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A12.09.001.040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Исследование неспровоцированных дыхательных объемов и потоков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403,26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A06.03.061.001.040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Рентгеноденситометрия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поясничного отдела позвоночника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659,34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A06.03.061.002.040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Рентгеноденситометрия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проксимального отдела бедренной кости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659,34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A09.05.032.040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Исследование уровня общего кальция в крови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123,00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A09.05.046.040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Определение активности щелочной фосфатазы в крови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125,40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A03.18.001.040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Колоноскопия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1231,84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A11.18.001.040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Биопсия ободочной кишки эндоскопическая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2660,43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A04.16.001.040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Ультразвуковое исследование органов брюшной полости (комплексное)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683,99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A09.05.089.040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Исследование уровня альфа-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фетопротеина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сыворотке крови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465,02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A06.09.007.040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Рентгенография легких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764,82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A09.05.009.040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Исследование уровня C-реактивного белка в сыворотке крови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135,05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A09.05.056.040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Исследование уровня инсулина плазмы крови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449,49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A09.05.087.040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Исследование уровня пролактина в крови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312,17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A09.05.058.040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Исследование уровня паратиреоидного гормона в крови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524,99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A09.05.033.040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Исследование уровня неорганического фосфора в крови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97,62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A04.22.001.040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Ультразвуковое исследование щитовидной железы и паращитовидных желез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648,29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A09.05.065.040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Исследование уровня тиреотропного гормона (ТТГ) в крови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194,40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A09.05.209.040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Исследование уровня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кальцитонина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крови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739,12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A04.20.001.040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Ультразвуковое исследование матки и придатков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трансабдоминальное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807,35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A04.20.001.001.040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Ультразвуковое исследование матки и придатков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трансвагинальное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813,64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A04.28.003.040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Ультразвуковое исследование органов мошонки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670,69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A05.30.004.040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Магнитно-резонансная томография органов малого таза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1341,53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A09.05.090.040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Исследование уровня хорионического гонадотропина (свободная бета-субъединица) в сыворотке крови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393,46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A04.20.002.040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Ультразвуковое исследование молочных желез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778,09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A06.20.004.040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Маммография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507,53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A06.28.009.002.040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Спиральная компьютерная томография почек и надпочечников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1308,46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A09.05.030.040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Исследование уровня натрия в крови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172,26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541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A09.05.031.040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Исследование уровня калия в крови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244,84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A04.07.002.040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Ультразвуковое исследование слюнных желез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648,29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A06.03.005.040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Рентгенография всего черепа, в одной или более проекциях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624,14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A03.28.001.040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Цистоскопия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1214,85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A04.30.003.040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Ультразвуковое исследование забрюшинного пространства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666,36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A04.21.001.040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Ультразвуковое исследование предстательной железы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676,96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A09.05.130.040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Исследование уровня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простатспецифического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антигена общего в крови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421,96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A06.03.011.040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Рентгенография шейно-дорсального отдела позвоночник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624,14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A03.26.019.001.040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Оптическое исследование переднего отдела глаза с помощью компьютерного анализатора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812,29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A04.26.002.040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Ультразвуковое исследование глазного яблока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501,99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Borders>
              <w:bottom w:val="single" w:color="auto" w:sz="4" w:space="0"/>
            </w:tcBorders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A03.08.001.001.040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Видеоларингоскопия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863,06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/>
            <w:bookmarkStart w:id="1" w:name="_GoBack"/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A06.03.002.040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Компьютерная томография лицевого отдела черепа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1206,37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A06.25.003.040.040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Компьютерная томография височной кости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1206,37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bookmarkEnd w:id="1"/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Borders>
              <w:top w:val="single" w:color="auto" w:sz="4" w:space="0"/>
            </w:tcBorders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A03.08.005.040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Фиброларингоскопия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863,06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A11.07.001.040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Биопсия слизистой полости рта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1207,49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A09.05.202.040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Исследование уровня антигена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аденогенных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раков CA 125 в крови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361,11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B03.016.005.040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Анализ крови по оценке нарушений липидного обмена биохимический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795,09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A08.20.017.040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Цитологическое исследование микропрепарата шейки матки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500,75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A09.05.195.040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Исследование уровня ракового эмбрионального антигена в крови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318,38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A11.20.010.003.040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Пункция новообразования молочной железы прицельная пункционная под контролем ультразвукового исследования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1147,74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A08.20.015.040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Цитологическое исследование микропрепарата тканей молочной железы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436,61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B03.016.004.040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Анализ крови биохимический общетерапевтический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907,91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A11.16.003.040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Биопсия двенадцатиперстной кишки с помощью эндоскопии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2593,70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A11.01.001.040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Биопсия кожи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1038,48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A11.25.006.040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Биопсия новообразования наружного уха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1859,23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A11.16.001.040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Биопсия пищевода с помощью эндоскопии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2546,72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A11.08.001.040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Биопсия слизистой оболочки гортани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1788,67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A11.08.002.040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Биопсия слизистой оболочки полости носа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2148,53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A11.07.020.040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Биопсия слюнной железы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1641,51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none" w:color="000000" w:sz="4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A11.08.012.040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Биопсия тканей трахеи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1729,45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A09.05.221.040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Исследование уровня 25-OH витамина Д в крови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947,39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A09.05.204.040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Исследование уровня инсулиноподобного ростового фактора I в крови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405,22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A09.28.012.040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Исследование уровня кальция в моче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133,84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A09.05.078.040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Исследование уровня общего тестостерона в крови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301,39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A09.05.117.040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Исследование уровня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тиреоглобулина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крови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363,37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A09.05.026.040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Исследование уровня холестерина в крови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133,11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none" w:color="000000" w:sz="4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A09.05.004.040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Исследование уровня холестерина липопротеинов высокой плотности в крови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126,53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A03.08.001.040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Ларингоскопия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188,33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B03.016.006.040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Общий (клинический) анализ мочи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185,56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A09.05.045.040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Определение активности амилазы в крови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208,33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A09.05.039.040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Определение активности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лактатдегидрогеназы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крови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216,00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A26.06.036.001.040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Определение антигена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HBsAg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вируса гепатита B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Hepatitis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B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virus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в крови, качественное исследование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378,22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A12.05.027.040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Определение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протромбинового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тромбопластинового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времени в крови или в плазме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224,02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A11.20.008.040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Раздельное диагностическое выскабливание полости матки и цервикального канала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2542,76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A06.03.005.040.040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Рентгенография всего черепа, в одной или более проекциях, рентгенография шейного отдела позвоночника, рентгенография шейно-дорсального отдела позвоночника, рентгенография грудного отдела позвоночника, рентгенография грудного и поясничного отдела позвоноч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ника, рентгенография поясничного отдела позвоночника, рентгенография плечевого сустава, рентгенография тазобедренного сустава, рентгенография голеностопного сустава, рентгенография акромиально-ключичного сочленения, рентгенография грудино-ключичного сочлен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ения, рентгенография поясничного и крестцового отдела позвоночника, рентгенография крестца и копчика, рентгенография крестца, рентгенография копчика, рентгенография позвоночника, специальные исследования и проекции, рентгенография верхней конечности, рентг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енография нижней конечности, рентгенография таза, рентгенография плечевого сустава, рентгенография тазобедренного сустава, рентгенография голеностопного сустава, рентгенография акромиально-ключичного сочленения, рентгенография грудино-ключичного сочленения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624,14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A06.03.061.040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Рентгеноденситометрия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984,55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A03.08.004.040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Риноскопия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185,43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A23.30.023.040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Тест 6-минутной ходьбы (Проведение теста с однократной физической нагрузкой меняющейся интенсивности)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178,21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A03.09.002.040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Трахеоскопия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1688,91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A04.30.010.040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Ультразвуковое исследование органов малого таза (комплексное)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трансвагинальное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трансабдоминальное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959,94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A03.08.002.040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Фарингоскопия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168,03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A04.14.001.005.040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Эластометрия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печени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719,84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A12.09.002.040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Исследование спровоцированных дыхательных объемов и потоков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403,26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A09.05.051.001.040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Определение концентрации Д-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димера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крови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996,24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B04.011.001.040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Диспансерный прием (осмотр, консультация) врача-детского эндокринолога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1238,11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B04.009.001.040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Диспансерный прием (осмотр, консультация) врача-детского онколога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641,15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B04.053.011.040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Диспансерный прием (осмотр, консультация) врача-детского уролога-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андролога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518,80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B04.015.001.040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Диспансерный прием (осмотр, консультация) врача-детского хирурга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685,26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742"/>
              <w:numPr>
                <w:ilvl w:val="0"/>
                <w:numId w:val="2"/>
              </w:numPr>
              <w:ind w:left="75"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B04.010.001.040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453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Диспансерный прием (осмотр, консультация) врача-детского кардиолога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641,15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12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</w:tr>
    </w:tbl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707" w:bottom="1134" w:left="1701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Times New Roman">
    <w:panose1 w:val="02020603050405020304"/>
  </w:font>
  <w:font w:name="Liberation Sans">
    <w:panose1 w:val="020B0604020202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ind w:right="-141" w:firstLine="708"/>
        <w:jc w:val="both"/>
        <w:rPr>
          <w:rFonts w:ascii="Times New Roman" w:hAnsi="Times New Roman" w:cs="Times New Roman"/>
          <w:sz w:val="24"/>
        </w:rPr>
      </w:pPr>
      <w:r>
        <w:rPr>
          <w:rStyle w:val="887"/>
        </w:rPr>
        <w:footnoteRef/>
      </w:r>
      <w:r>
        <w:rPr>
          <w:lang w:val="en-US"/>
        </w:rPr>
        <w:t xml:space="preserve"> </w:t>
      </w:r>
      <w:r>
        <w:rPr>
          <w:rFonts w:ascii="Times New Roman" w:hAnsi="Times New Roman" w:cs="Times New Roman"/>
          <w:sz w:val="24"/>
        </w:rPr>
        <w:t xml:space="preserve">При планировании объемов медицинской помощи следует руководствоваться приказами Министерства здравоохранения Российской Федерации от 15.03.2022 № 168н «Об утверждении </w:t>
      </w:r>
      <w:r>
        <w:rPr>
          <w:rFonts w:ascii="Times New Roman" w:hAnsi="Times New Roman" w:cs="Times New Roman"/>
          <w:sz w:val="24"/>
        </w:rPr>
        <w:t xml:space="preserve">порядка проведения диспансерного наблюдения за взрослыми», от 04.06.2020 № 548н «Об утверждении порядка диспансерного наблюдения за взрослыми с онкологическими заболеваниями», от 11.04.2025 № 192н «Об утверждении Порядка прохождения несовершеннолетними дис</w:t>
      </w:r>
      <w:r>
        <w:rPr>
          <w:rFonts w:ascii="Times New Roman" w:hAnsi="Times New Roman" w:cs="Times New Roman"/>
          <w:sz w:val="24"/>
        </w:rPr>
        <w:t xml:space="preserve">пансерного наблюдения, в том числе в период обучения и воспитания в образовательных организациях». Набор необходимых диагностических услуг и консультаций врачей-специалистов определяется лечащим врачом с учетом профиля заболевания пациента и его состояния.</w:t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p>
      <w:pPr>
        <w:pStyle w:val="885"/>
      </w:pPr>
      <w:r/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559822602"/>
      <w:docPartObj>
        <w:docPartGallery w:val="Page Numbers (Top of Page)"/>
        <w:docPartUnique w:val="true"/>
      </w:docPartObj>
      <w:rPr/>
    </w:sdtPr>
    <w:sdtContent>
      <w:p>
        <w:pPr>
          <w:pStyle w:val="752"/>
          <w:jc w:val="center"/>
          <w:rPr>
            <w:rFonts w:ascii="Times New Roman" w:hAnsi="Times New Roman" w:cs="Times New Roman"/>
            <w:sz w:val="28"/>
            <w:szCs w:val="24"/>
          </w:rPr>
        </w:pPr>
        <w:r>
          <w:rPr>
            <w:rFonts w:ascii="Times New Roman" w:hAnsi="Times New Roman" w:cs="Times New Roman"/>
            <w:sz w:val="28"/>
            <w:szCs w:val="24"/>
          </w:rPr>
          <w:fldChar w:fldCharType="begin"/>
        </w:r>
        <w:r>
          <w:rPr>
            <w:rFonts w:ascii="Times New Roman" w:hAnsi="Times New Roman" w:cs="Times New Roman"/>
            <w:sz w:val="28"/>
            <w:szCs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4"/>
          </w:rPr>
          <w:fldChar w:fldCharType="separate"/>
        </w:r>
        <w:r>
          <w:rPr>
            <w:rFonts w:ascii="Times New Roman" w:hAnsi="Times New Roman" w:cs="Times New Roman"/>
            <w:sz w:val="28"/>
            <w:szCs w:val="24"/>
          </w:rPr>
          <w:t xml:space="preserve">9</w:t>
        </w:r>
        <w:r>
          <w:rPr>
            <w:rFonts w:ascii="Times New Roman" w:hAnsi="Times New Roman" w:cs="Times New Roman"/>
            <w:sz w:val="28"/>
            <w:szCs w:val="24"/>
          </w:rPr>
          <w:fldChar w:fldCharType="end"/>
        </w:r>
        <w:r>
          <w:rPr>
            <w:rFonts w:ascii="Times New Roman" w:hAnsi="Times New Roman" w:cs="Times New Roman"/>
            <w:sz w:val="28"/>
            <w:szCs w:val="24"/>
          </w:rPr>
        </w:r>
        <w:r>
          <w:rPr>
            <w:rFonts w:ascii="Times New Roman" w:hAnsi="Times New Roman" w:cs="Times New Roman"/>
            <w:sz w:val="28"/>
            <w:szCs w:val="24"/>
          </w:rPr>
        </w:r>
      </w:p>
    </w:sdtContent>
  </w:sdt>
  <w:p>
    <w:pPr>
      <w:pStyle w:val="75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2" w:default="1">
    <w:name w:val="Normal"/>
    <w:qFormat/>
    <w:pPr>
      <w:spacing w:after="0" w:line="240" w:lineRule="auto"/>
    </w:pPr>
    <w:rPr>
      <w:rFonts w:eastAsiaTheme="minorEastAsia"/>
      <w:lang w:eastAsia="ru-RU"/>
    </w:rPr>
  </w:style>
  <w:style w:type="paragraph" w:styleId="703">
    <w:name w:val="Heading 1"/>
    <w:basedOn w:val="702"/>
    <w:next w:val="702"/>
    <w:link w:val="73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04">
    <w:name w:val="Heading 2"/>
    <w:basedOn w:val="702"/>
    <w:next w:val="702"/>
    <w:link w:val="73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05">
    <w:name w:val="Heading 3"/>
    <w:basedOn w:val="702"/>
    <w:next w:val="702"/>
    <w:link w:val="73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06">
    <w:name w:val="Heading 4"/>
    <w:basedOn w:val="702"/>
    <w:next w:val="702"/>
    <w:link w:val="73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07">
    <w:name w:val="Heading 5"/>
    <w:basedOn w:val="702"/>
    <w:next w:val="702"/>
    <w:link w:val="73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08">
    <w:name w:val="Heading 6"/>
    <w:basedOn w:val="702"/>
    <w:next w:val="702"/>
    <w:link w:val="73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09">
    <w:name w:val="Heading 7"/>
    <w:basedOn w:val="702"/>
    <w:next w:val="702"/>
    <w:link w:val="73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710">
    <w:name w:val="Heading 8"/>
    <w:basedOn w:val="702"/>
    <w:next w:val="702"/>
    <w:link w:val="74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711">
    <w:name w:val="Heading 9"/>
    <w:basedOn w:val="702"/>
    <w:next w:val="702"/>
    <w:link w:val="74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2" w:default="1">
    <w:name w:val="Default Paragraph Font"/>
    <w:uiPriority w:val="1"/>
    <w:semiHidden/>
    <w:unhideWhenUsed/>
  </w:style>
  <w:style w:type="table" w:styleId="71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4" w:default="1">
    <w:name w:val="No List"/>
    <w:uiPriority w:val="99"/>
    <w:semiHidden/>
    <w:unhideWhenUsed/>
  </w:style>
  <w:style w:type="character" w:styleId="715" w:customStyle="1">
    <w:name w:val="Heading 1 Char"/>
    <w:basedOn w:val="712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16" w:customStyle="1">
    <w:name w:val="Heading 2 Char"/>
    <w:basedOn w:val="712"/>
    <w:uiPriority w:val="9"/>
    <w:rPr>
      <w:rFonts w:ascii="Liberation Sans" w:hAnsi="Liberation Sans" w:eastAsia="Liberation Sans" w:cs="Liberation Sans"/>
      <w:sz w:val="34"/>
    </w:rPr>
  </w:style>
  <w:style w:type="character" w:styleId="717" w:customStyle="1">
    <w:name w:val="Heading 3 Char"/>
    <w:basedOn w:val="712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18" w:customStyle="1">
    <w:name w:val="Heading 4 Char"/>
    <w:basedOn w:val="712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19" w:customStyle="1">
    <w:name w:val="Heading 5 Char"/>
    <w:basedOn w:val="71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20" w:customStyle="1">
    <w:name w:val="Heading 6 Char"/>
    <w:basedOn w:val="712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21" w:customStyle="1">
    <w:name w:val="Heading 7 Char"/>
    <w:basedOn w:val="712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22" w:customStyle="1">
    <w:name w:val="Heading 8 Char"/>
    <w:basedOn w:val="712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23" w:customStyle="1">
    <w:name w:val="Heading 9 Char"/>
    <w:basedOn w:val="712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24" w:customStyle="1">
    <w:name w:val="Title Char"/>
    <w:basedOn w:val="712"/>
    <w:uiPriority w:val="10"/>
    <w:rPr>
      <w:sz w:val="48"/>
      <w:szCs w:val="48"/>
    </w:rPr>
  </w:style>
  <w:style w:type="character" w:styleId="725" w:customStyle="1">
    <w:name w:val="Subtitle Char"/>
    <w:basedOn w:val="712"/>
    <w:uiPriority w:val="11"/>
    <w:rPr>
      <w:sz w:val="24"/>
      <w:szCs w:val="24"/>
    </w:rPr>
  </w:style>
  <w:style w:type="character" w:styleId="726" w:customStyle="1">
    <w:name w:val="Quote Char"/>
    <w:uiPriority w:val="29"/>
    <w:rPr>
      <w:i/>
    </w:rPr>
  </w:style>
  <w:style w:type="character" w:styleId="727" w:customStyle="1">
    <w:name w:val="Intense Quote Char"/>
    <w:uiPriority w:val="30"/>
    <w:rPr>
      <w:i/>
    </w:rPr>
  </w:style>
  <w:style w:type="character" w:styleId="728" w:customStyle="1">
    <w:name w:val="Header Char"/>
    <w:basedOn w:val="712"/>
    <w:uiPriority w:val="99"/>
  </w:style>
  <w:style w:type="character" w:styleId="729" w:customStyle="1">
    <w:name w:val="Footer Char"/>
    <w:basedOn w:val="712"/>
    <w:uiPriority w:val="99"/>
  </w:style>
  <w:style w:type="character" w:styleId="730" w:customStyle="1">
    <w:name w:val="Caption Char"/>
    <w:basedOn w:val="712"/>
    <w:uiPriority w:val="35"/>
    <w:rPr>
      <w:b/>
      <w:bCs/>
      <w:color w:val="5b9bd5" w:themeColor="accent1"/>
      <w:sz w:val="18"/>
      <w:szCs w:val="18"/>
    </w:rPr>
  </w:style>
  <w:style w:type="character" w:styleId="731" w:customStyle="1">
    <w:name w:val="Footnote Text Char"/>
    <w:uiPriority w:val="99"/>
    <w:rPr>
      <w:sz w:val="18"/>
    </w:rPr>
  </w:style>
  <w:style w:type="character" w:styleId="732" w:customStyle="1">
    <w:name w:val="Endnote Text Char"/>
    <w:uiPriority w:val="99"/>
    <w:rPr>
      <w:sz w:val="20"/>
    </w:rPr>
  </w:style>
  <w:style w:type="character" w:styleId="733" w:customStyle="1">
    <w:name w:val="Заголовок 1 Знак"/>
    <w:basedOn w:val="712"/>
    <w:link w:val="703"/>
    <w:uiPriority w:val="9"/>
    <w:rPr>
      <w:rFonts w:ascii="Arial" w:hAnsi="Arial" w:eastAsia="Arial" w:cs="Arial"/>
      <w:sz w:val="40"/>
      <w:szCs w:val="40"/>
    </w:rPr>
  </w:style>
  <w:style w:type="character" w:styleId="734" w:customStyle="1">
    <w:name w:val="Заголовок 2 Знак"/>
    <w:basedOn w:val="712"/>
    <w:link w:val="704"/>
    <w:uiPriority w:val="9"/>
    <w:rPr>
      <w:rFonts w:ascii="Arial" w:hAnsi="Arial" w:eastAsia="Arial" w:cs="Arial"/>
      <w:sz w:val="34"/>
    </w:rPr>
  </w:style>
  <w:style w:type="character" w:styleId="735" w:customStyle="1">
    <w:name w:val="Заголовок 3 Знак"/>
    <w:basedOn w:val="712"/>
    <w:link w:val="705"/>
    <w:uiPriority w:val="9"/>
    <w:rPr>
      <w:rFonts w:ascii="Arial" w:hAnsi="Arial" w:eastAsia="Arial" w:cs="Arial"/>
      <w:sz w:val="30"/>
      <w:szCs w:val="30"/>
    </w:rPr>
  </w:style>
  <w:style w:type="character" w:styleId="736" w:customStyle="1">
    <w:name w:val="Заголовок 4 Знак"/>
    <w:basedOn w:val="712"/>
    <w:link w:val="706"/>
    <w:uiPriority w:val="9"/>
    <w:rPr>
      <w:rFonts w:ascii="Arial" w:hAnsi="Arial" w:eastAsia="Arial" w:cs="Arial"/>
      <w:b/>
      <w:bCs/>
      <w:sz w:val="26"/>
      <w:szCs w:val="26"/>
    </w:rPr>
  </w:style>
  <w:style w:type="character" w:styleId="737" w:customStyle="1">
    <w:name w:val="Заголовок 5 Знак"/>
    <w:basedOn w:val="712"/>
    <w:link w:val="707"/>
    <w:uiPriority w:val="9"/>
    <w:rPr>
      <w:rFonts w:ascii="Arial" w:hAnsi="Arial" w:eastAsia="Arial" w:cs="Arial"/>
      <w:b/>
      <w:bCs/>
      <w:sz w:val="24"/>
      <w:szCs w:val="24"/>
    </w:rPr>
  </w:style>
  <w:style w:type="character" w:styleId="738" w:customStyle="1">
    <w:name w:val="Заголовок 6 Знак"/>
    <w:basedOn w:val="712"/>
    <w:link w:val="708"/>
    <w:uiPriority w:val="9"/>
    <w:rPr>
      <w:rFonts w:ascii="Arial" w:hAnsi="Arial" w:eastAsia="Arial" w:cs="Arial"/>
      <w:b/>
      <w:bCs/>
      <w:sz w:val="22"/>
      <w:szCs w:val="22"/>
    </w:rPr>
  </w:style>
  <w:style w:type="character" w:styleId="739" w:customStyle="1">
    <w:name w:val="Заголовок 7 Знак"/>
    <w:basedOn w:val="712"/>
    <w:link w:val="70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0" w:customStyle="1">
    <w:name w:val="Заголовок 8 Знак"/>
    <w:basedOn w:val="712"/>
    <w:link w:val="710"/>
    <w:uiPriority w:val="9"/>
    <w:rPr>
      <w:rFonts w:ascii="Arial" w:hAnsi="Arial" w:eastAsia="Arial" w:cs="Arial"/>
      <w:i/>
      <w:iCs/>
      <w:sz w:val="22"/>
      <w:szCs w:val="22"/>
    </w:rPr>
  </w:style>
  <w:style w:type="character" w:styleId="741" w:customStyle="1">
    <w:name w:val="Заголовок 9 Знак"/>
    <w:basedOn w:val="712"/>
    <w:link w:val="711"/>
    <w:uiPriority w:val="9"/>
    <w:rPr>
      <w:rFonts w:ascii="Arial" w:hAnsi="Arial" w:eastAsia="Arial" w:cs="Arial"/>
      <w:i/>
      <w:iCs/>
      <w:sz w:val="21"/>
      <w:szCs w:val="21"/>
    </w:rPr>
  </w:style>
  <w:style w:type="paragraph" w:styleId="742">
    <w:name w:val="List Paragraph"/>
    <w:basedOn w:val="702"/>
    <w:uiPriority w:val="34"/>
    <w:qFormat/>
    <w:pPr>
      <w:contextualSpacing/>
      <w:ind w:left="720"/>
    </w:pPr>
  </w:style>
  <w:style w:type="paragraph" w:styleId="743">
    <w:name w:val="No Spacing"/>
    <w:uiPriority w:val="1"/>
    <w:qFormat/>
    <w:pPr>
      <w:spacing w:after="0" w:line="240" w:lineRule="auto"/>
    </w:pPr>
  </w:style>
  <w:style w:type="paragraph" w:styleId="744">
    <w:name w:val="Title"/>
    <w:basedOn w:val="702"/>
    <w:next w:val="702"/>
    <w:link w:val="74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5" w:customStyle="1">
    <w:name w:val="Название Знак"/>
    <w:basedOn w:val="712"/>
    <w:link w:val="744"/>
    <w:uiPriority w:val="10"/>
    <w:rPr>
      <w:sz w:val="48"/>
      <w:szCs w:val="48"/>
    </w:rPr>
  </w:style>
  <w:style w:type="paragraph" w:styleId="746">
    <w:name w:val="Subtitle"/>
    <w:basedOn w:val="702"/>
    <w:next w:val="702"/>
    <w:link w:val="747"/>
    <w:uiPriority w:val="11"/>
    <w:qFormat/>
    <w:pPr>
      <w:spacing w:before="200" w:after="200"/>
    </w:pPr>
    <w:rPr>
      <w:sz w:val="24"/>
      <w:szCs w:val="24"/>
    </w:rPr>
  </w:style>
  <w:style w:type="character" w:styleId="747" w:customStyle="1">
    <w:name w:val="Подзаголовок Знак"/>
    <w:basedOn w:val="712"/>
    <w:link w:val="746"/>
    <w:uiPriority w:val="11"/>
    <w:rPr>
      <w:sz w:val="24"/>
      <w:szCs w:val="24"/>
    </w:rPr>
  </w:style>
  <w:style w:type="paragraph" w:styleId="748">
    <w:name w:val="Quote"/>
    <w:basedOn w:val="702"/>
    <w:next w:val="702"/>
    <w:link w:val="749"/>
    <w:uiPriority w:val="29"/>
    <w:qFormat/>
    <w:pPr>
      <w:ind w:left="720" w:right="720"/>
    </w:pPr>
    <w:rPr>
      <w:i/>
    </w:rPr>
  </w:style>
  <w:style w:type="character" w:styleId="749" w:customStyle="1">
    <w:name w:val="Цитата 2 Знак"/>
    <w:link w:val="748"/>
    <w:uiPriority w:val="29"/>
    <w:rPr>
      <w:i/>
    </w:rPr>
  </w:style>
  <w:style w:type="paragraph" w:styleId="750">
    <w:name w:val="Intense Quote"/>
    <w:basedOn w:val="702"/>
    <w:next w:val="702"/>
    <w:link w:val="75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1" w:customStyle="1">
    <w:name w:val="Выделенная цитата Знак"/>
    <w:link w:val="750"/>
    <w:uiPriority w:val="30"/>
    <w:rPr>
      <w:i/>
    </w:rPr>
  </w:style>
  <w:style w:type="paragraph" w:styleId="752">
    <w:name w:val="Header"/>
    <w:basedOn w:val="702"/>
    <w:link w:val="753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53" w:customStyle="1">
    <w:name w:val="Верхний колонтитул Знак"/>
    <w:basedOn w:val="712"/>
    <w:link w:val="752"/>
    <w:uiPriority w:val="99"/>
  </w:style>
  <w:style w:type="paragraph" w:styleId="754">
    <w:name w:val="Footer"/>
    <w:basedOn w:val="702"/>
    <w:link w:val="755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55" w:customStyle="1">
    <w:name w:val="Нижний колонтитул Знак"/>
    <w:basedOn w:val="712"/>
    <w:link w:val="754"/>
    <w:uiPriority w:val="99"/>
  </w:style>
  <w:style w:type="paragraph" w:styleId="756">
    <w:name w:val="Caption"/>
    <w:basedOn w:val="702"/>
    <w:next w:val="702"/>
    <w:link w:val="757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57" w:customStyle="1">
    <w:name w:val="Название объекта Знак"/>
    <w:basedOn w:val="712"/>
    <w:link w:val="756"/>
    <w:uiPriority w:val="35"/>
    <w:rPr>
      <w:b/>
      <w:bCs/>
      <w:color w:val="5b9bd5" w:themeColor="accent1"/>
      <w:sz w:val="18"/>
      <w:szCs w:val="18"/>
    </w:rPr>
  </w:style>
  <w:style w:type="table" w:styleId="758">
    <w:name w:val="Table Grid"/>
    <w:basedOn w:val="713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59" w:customStyle="1">
    <w:name w:val="Table Grid Light"/>
    <w:basedOn w:val="71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60">
    <w:name w:val="Plain Table 1"/>
    <w:basedOn w:val="71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1">
    <w:name w:val="Plain Table 2"/>
    <w:basedOn w:val="713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2">
    <w:name w:val="Plain Table 3"/>
    <w:basedOn w:val="7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3">
    <w:name w:val="Plain Table 4"/>
    <w:basedOn w:val="7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Plain Table 5"/>
    <w:basedOn w:val="7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5">
    <w:name w:val="Grid Table 1 Light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Grid Table 1 Light - Accent 1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 w:customStyle="1">
    <w:name w:val="Grid Table 1 Light - Accent 2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 w:customStyle="1">
    <w:name w:val="Grid Table 1 Light - Accent 3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Grid Table 1 Light - Accent 4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Grid Table 1 Light - Accent 5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Grid Table 1 Light - Accent 6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Grid Table 2"/>
    <w:basedOn w:val="7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2 - Accent 1"/>
    <w:basedOn w:val="7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2 - Accent 2"/>
    <w:basedOn w:val="7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2 - Accent 3"/>
    <w:basedOn w:val="7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2 - Accent 4"/>
    <w:basedOn w:val="7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2 - Accent 5"/>
    <w:basedOn w:val="7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2 - Accent 6"/>
    <w:basedOn w:val="7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3"/>
    <w:basedOn w:val="7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3 - Accent 1"/>
    <w:basedOn w:val="7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3 - Accent 2"/>
    <w:basedOn w:val="7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3 - Accent 3"/>
    <w:basedOn w:val="7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3 - Accent 4"/>
    <w:basedOn w:val="7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3 - Accent 5"/>
    <w:basedOn w:val="7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3 - Accent 6"/>
    <w:basedOn w:val="7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4"/>
    <w:basedOn w:val="713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7" w:customStyle="1">
    <w:name w:val="Grid Table 4 - Accent 1"/>
    <w:basedOn w:val="713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88" w:customStyle="1">
    <w:name w:val="Grid Table 4 - Accent 2"/>
    <w:basedOn w:val="713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89" w:customStyle="1">
    <w:name w:val="Grid Table 4 - Accent 3"/>
    <w:basedOn w:val="713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90" w:customStyle="1">
    <w:name w:val="Grid Table 4 - Accent 4"/>
    <w:basedOn w:val="713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91" w:customStyle="1">
    <w:name w:val="Grid Table 4 - Accent 5"/>
    <w:basedOn w:val="713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92" w:customStyle="1">
    <w:name w:val="Grid Table 4 - Accent 6"/>
    <w:basedOn w:val="713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93">
    <w:name w:val="Grid Table 5 Dark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94" w:customStyle="1">
    <w:name w:val="Grid Table 5 Dark- Accent 1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95" w:customStyle="1">
    <w:name w:val="Grid Table 5 Dark - Accent 2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96" w:customStyle="1">
    <w:name w:val="Grid Table 5 Dark - Accent 3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97" w:customStyle="1">
    <w:name w:val="Grid Table 5 Dark- Accent 4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98" w:customStyle="1">
    <w:name w:val="Grid Table 5 Dark - Accent 5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99" w:customStyle="1">
    <w:name w:val="Grid Table 5 Dark - Accent 6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00">
    <w:name w:val="Grid Table 6 Colorful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01" w:customStyle="1">
    <w:name w:val="Grid Table 6 Colorful - Accent 1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02" w:customStyle="1">
    <w:name w:val="Grid Table 6 Colorful - Accent 2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03" w:customStyle="1">
    <w:name w:val="Grid Table 6 Colorful - Accent 3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04" w:customStyle="1">
    <w:name w:val="Grid Table 6 Colorful - Accent 4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05" w:customStyle="1">
    <w:name w:val="Grid Table 6 Colorful - Accent 5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06" w:customStyle="1">
    <w:name w:val="Grid Table 6 Colorful - Accent 6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07">
    <w:name w:val="Grid Table 7 Colorful"/>
    <w:basedOn w:val="7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Grid Table 7 Colorful - Accent 1"/>
    <w:basedOn w:val="7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Grid Table 7 Colorful - Accent 2"/>
    <w:basedOn w:val="7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Grid Table 7 Colorful - Accent 3"/>
    <w:basedOn w:val="7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Grid Table 7 Colorful - Accent 4"/>
    <w:basedOn w:val="7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Grid Table 7 Colorful - Accent 5"/>
    <w:basedOn w:val="7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Grid Table 7 Colorful - Accent 6"/>
    <w:basedOn w:val="7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1 Light"/>
    <w:basedOn w:val="7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List Table 1 Light - Accent 1"/>
    <w:basedOn w:val="7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List Table 1 Light - Accent 2"/>
    <w:basedOn w:val="7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List Table 1 Light - Accent 3"/>
    <w:basedOn w:val="7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List Table 1 Light - Accent 4"/>
    <w:basedOn w:val="7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List Table 1 Light - Accent 5"/>
    <w:basedOn w:val="7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List Table 1 Light - Accent 6"/>
    <w:basedOn w:val="7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List Table 2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22" w:customStyle="1">
    <w:name w:val="List Table 2 - Accent 1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23" w:customStyle="1">
    <w:name w:val="List Table 2 - Accent 2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24" w:customStyle="1">
    <w:name w:val="List Table 2 - Accent 3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25" w:customStyle="1">
    <w:name w:val="List Table 2 - Accent 4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26" w:customStyle="1">
    <w:name w:val="List Table 2 - Accent 5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27" w:customStyle="1">
    <w:name w:val="List Table 2 - Accent 6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28">
    <w:name w:val="List Table 3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3 - Accent 1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List Table 3 - Accent 2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List Table 3 - Accent 3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List Table 3 - Accent 4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List Table 3 - Accent 5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 w:customStyle="1">
    <w:name w:val="List Table 3 - Accent 6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4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4 - Accent 1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4 - Accent 2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4 - Accent 3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4 - Accent 4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4 - Accent 5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4 - Accent 6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>
    <w:name w:val="List Table 5 Dark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3" w:customStyle="1">
    <w:name w:val="List Table 5 Dark - Accent 1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4" w:customStyle="1">
    <w:name w:val="List Table 5 Dark - Accent 2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5" w:customStyle="1">
    <w:name w:val="List Table 5 Dark - Accent 3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6" w:customStyle="1">
    <w:name w:val="List Table 5 Dark - Accent 4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7" w:customStyle="1">
    <w:name w:val="List Table 5 Dark - Accent 5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8" w:customStyle="1">
    <w:name w:val="List Table 5 Dark - Accent 6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9">
    <w:name w:val="List Table 6 Colorful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50" w:customStyle="1">
    <w:name w:val="List Table 6 Colorful - Accent 1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51" w:customStyle="1">
    <w:name w:val="List Table 6 Colorful - Accent 2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52" w:customStyle="1">
    <w:name w:val="List Table 6 Colorful - Accent 3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53" w:customStyle="1">
    <w:name w:val="List Table 6 Colorful - Accent 4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54" w:customStyle="1">
    <w:name w:val="List Table 6 Colorful - Accent 5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55" w:customStyle="1">
    <w:name w:val="List Table 6 Colorful - Accent 6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56">
    <w:name w:val="List Table 7 Colorful"/>
    <w:basedOn w:val="71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List Table 7 Colorful - Accent 1"/>
    <w:basedOn w:val="71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List Table 7 Colorful - Accent 2"/>
    <w:basedOn w:val="71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List Table 7 Colorful - Accent 3"/>
    <w:basedOn w:val="71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 w:customStyle="1">
    <w:name w:val="List Table 7 Colorful - Accent 4"/>
    <w:basedOn w:val="71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 w:customStyle="1">
    <w:name w:val="List Table 7 Colorful - Accent 5"/>
    <w:basedOn w:val="71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List Table 7 Colorful - Accent 6"/>
    <w:basedOn w:val="71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Lined - Accent"/>
    <w:basedOn w:val="71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4" w:customStyle="1">
    <w:name w:val="Lined - Accent 1"/>
    <w:basedOn w:val="71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65" w:customStyle="1">
    <w:name w:val="Lined - Accent 2"/>
    <w:basedOn w:val="71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66" w:customStyle="1">
    <w:name w:val="Lined - Accent 3"/>
    <w:basedOn w:val="71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67" w:customStyle="1">
    <w:name w:val="Lined - Accent 4"/>
    <w:basedOn w:val="71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68" w:customStyle="1">
    <w:name w:val="Lined - Accent 5"/>
    <w:basedOn w:val="71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69" w:customStyle="1">
    <w:name w:val="Lined - Accent 6"/>
    <w:basedOn w:val="71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70" w:customStyle="1">
    <w:name w:val="Bordered &amp; Lined - Accent"/>
    <w:basedOn w:val="71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1" w:customStyle="1">
    <w:name w:val="Bordered &amp; Lined - Accent 1"/>
    <w:basedOn w:val="71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72" w:customStyle="1">
    <w:name w:val="Bordered &amp; Lined - Accent 2"/>
    <w:basedOn w:val="71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73" w:customStyle="1">
    <w:name w:val="Bordered &amp; Lined - Accent 3"/>
    <w:basedOn w:val="71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74" w:customStyle="1">
    <w:name w:val="Bordered &amp; Lined - Accent 4"/>
    <w:basedOn w:val="71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75" w:customStyle="1">
    <w:name w:val="Bordered &amp; Lined - Accent 5"/>
    <w:basedOn w:val="71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76" w:customStyle="1">
    <w:name w:val="Bordered &amp; Lined - Accent 6"/>
    <w:basedOn w:val="71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77" w:customStyle="1">
    <w:name w:val="Bordered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78" w:customStyle="1">
    <w:name w:val="Bordered - Accent 1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79" w:customStyle="1">
    <w:name w:val="Bordered - Accent 2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80" w:customStyle="1">
    <w:name w:val="Bordered - Accent 3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81" w:customStyle="1">
    <w:name w:val="Bordered - Accent 4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82" w:customStyle="1">
    <w:name w:val="Bordered - Accent 5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83" w:customStyle="1">
    <w:name w:val="Bordered - Accent 6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84">
    <w:name w:val="Hyperlink"/>
    <w:uiPriority w:val="99"/>
    <w:unhideWhenUsed/>
    <w:rPr>
      <w:color w:val="0563c1" w:themeColor="hyperlink"/>
      <w:u w:val="single"/>
    </w:rPr>
  </w:style>
  <w:style w:type="paragraph" w:styleId="885">
    <w:name w:val="footnote text"/>
    <w:basedOn w:val="702"/>
    <w:link w:val="886"/>
    <w:uiPriority w:val="99"/>
    <w:semiHidden/>
    <w:unhideWhenUsed/>
    <w:pPr>
      <w:spacing w:after="40"/>
    </w:pPr>
    <w:rPr>
      <w:sz w:val="18"/>
    </w:rPr>
  </w:style>
  <w:style w:type="character" w:styleId="886" w:customStyle="1">
    <w:name w:val="Текст сноски Знак"/>
    <w:link w:val="885"/>
    <w:uiPriority w:val="99"/>
    <w:rPr>
      <w:sz w:val="18"/>
    </w:rPr>
  </w:style>
  <w:style w:type="character" w:styleId="887">
    <w:name w:val="footnote reference"/>
    <w:basedOn w:val="712"/>
    <w:uiPriority w:val="99"/>
    <w:unhideWhenUsed/>
    <w:rPr>
      <w:vertAlign w:val="superscript"/>
    </w:rPr>
  </w:style>
  <w:style w:type="paragraph" w:styleId="888">
    <w:name w:val="endnote text"/>
    <w:basedOn w:val="702"/>
    <w:link w:val="889"/>
    <w:uiPriority w:val="99"/>
    <w:semiHidden/>
    <w:unhideWhenUsed/>
    <w:rPr>
      <w:sz w:val="20"/>
    </w:rPr>
  </w:style>
  <w:style w:type="character" w:styleId="889" w:customStyle="1">
    <w:name w:val="Текст концевой сноски Знак"/>
    <w:link w:val="888"/>
    <w:uiPriority w:val="99"/>
    <w:rPr>
      <w:sz w:val="20"/>
    </w:rPr>
  </w:style>
  <w:style w:type="character" w:styleId="890">
    <w:name w:val="endnote reference"/>
    <w:basedOn w:val="712"/>
    <w:uiPriority w:val="99"/>
    <w:semiHidden/>
    <w:unhideWhenUsed/>
    <w:rPr>
      <w:vertAlign w:val="superscript"/>
    </w:rPr>
  </w:style>
  <w:style w:type="paragraph" w:styleId="891">
    <w:name w:val="toc 1"/>
    <w:basedOn w:val="702"/>
    <w:next w:val="702"/>
    <w:uiPriority w:val="39"/>
    <w:unhideWhenUsed/>
    <w:pPr>
      <w:spacing w:after="57"/>
    </w:pPr>
  </w:style>
  <w:style w:type="paragraph" w:styleId="892">
    <w:name w:val="toc 2"/>
    <w:basedOn w:val="702"/>
    <w:next w:val="702"/>
    <w:uiPriority w:val="39"/>
    <w:unhideWhenUsed/>
    <w:pPr>
      <w:ind w:left="283"/>
      <w:spacing w:after="57"/>
    </w:pPr>
  </w:style>
  <w:style w:type="paragraph" w:styleId="893">
    <w:name w:val="toc 3"/>
    <w:basedOn w:val="702"/>
    <w:next w:val="702"/>
    <w:uiPriority w:val="39"/>
    <w:unhideWhenUsed/>
    <w:pPr>
      <w:ind w:left="567"/>
      <w:spacing w:after="57"/>
    </w:pPr>
  </w:style>
  <w:style w:type="paragraph" w:styleId="894">
    <w:name w:val="toc 4"/>
    <w:basedOn w:val="702"/>
    <w:next w:val="702"/>
    <w:uiPriority w:val="39"/>
    <w:unhideWhenUsed/>
    <w:pPr>
      <w:ind w:left="850"/>
      <w:spacing w:after="57"/>
    </w:pPr>
  </w:style>
  <w:style w:type="paragraph" w:styleId="895">
    <w:name w:val="toc 5"/>
    <w:basedOn w:val="702"/>
    <w:next w:val="702"/>
    <w:uiPriority w:val="39"/>
    <w:unhideWhenUsed/>
    <w:pPr>
      <w:ind w:left="1134"/>
      <w:spacing w:after="57"/>
    </w:pPr>
  </w:style>
  <w:style w:type="paragraph" w:styleId="896">
    <w:name w:val="toc 6"/>
    <w:basedOn w:val="702"/>
    <w:next w:val="702"/>
    <w:uiPriority w:val="39"/>
    <w:unhideWhenUsed/>
    <w:pPr>
      <w:ind w:left="1417"/>
      <w:spacing w:after="57"/>
    </w:pPr>
  </w:style>
  <w:style w:type="paragraph" w:styleId="897">
    <w:name w:val="toc 7"/>
    <w:basedOn w:val="702"/>
    <w:next w:val="702"/>
    <w:uiPriority w:val="39"/>
    <w:unhideWhenUsed/>
    <w:pPr>
      <w:ind w:left="1701"/>
      <w:spacing w:after="57"/>
    </w:pPr>
  </w:style>
  <w:style w:type="paragraph" w:styleId="898">
    <w:name w:val="toc 8"/>
    <w:basedOn w:val="702"/>
    <w:next w:val="702"/>
    <w:uiPriority w:val="39"/>
    <w:unhideWhenUsed/>
    <w:pPr>
      <w:ind w:left="1984"/>
      <w:spacing w:after="57"/>
    </w:pPr>
  </w:style>
  <w:style w:type="paragraph" w:styleId="899">
    <w:name w:val="toc 9"/>
    <w:basedOn w:val="702"/>
    <w:next w:val="702"/>
    <w:uiPriority w:val="39"/>
    <w:unhideWhenUsed/>
    <w:pPr>
      <w:ind w:left="2268"/>
      <w:spacing w:after="57"/>
    </w:pPr>
  </w:style>
  <w:style w:type="paragraph" w:styleId="900">
    <w:name w:val="TOC Heading"/>
    <w:uiPriority w:val="39"/>
    <w:unhideWhenUsed/>
  </w:style>
  <w:style w:type="paragraph" w:styleId="901">
    <w:name w:val="table of figures"/>
    <w:basedOn w:val="702"/>
    <w:next w:val="702"/>
    <w:uiPriority w:val="99"/>
    <w:unhideWhenUsed/>
  </w:style>
  <w:style w:type="paragraph" w:styleId="902" w:customStyle="1">
    <w:name w:val="ConsPlusNormal"/>
    <w:pPr>
      <w:spacing w:after="0" w:line="240" w:lineRule="auto"/>
      <w:widowControl w:val="off"/>
    </w:pPr>
    <w:rPr>
      <w:rFonts w:ascii="Times New Roman" w:hAnsi="Times New Roman" w:cs="Times New Roman" w:eastAsiaTheme="minorEastAsia"/>
      <w:sz w:val="24"/>
      <w:lang w:eastAsia="ru-RU"/>
    </w:rPr>
  </w:style>
  <w:style w:type="paragraph" w:styleId="903" w:customStyle="1">
    <w:name w:val="ConsPlusTitle"/>
    <w:pPr>
      <w:spacing w:after="0" w:line="240" w:lineRule="auto"/>
      <w:widowControl w:val="off"/>
    </w:pPr>
    <w:rPr>
      <w:rFonts w:ascii="Arial" w:hAnsi="Arial" w:cs="Arial" w:eastAsiaTheme="minorEastAsia"/>
      <w:b/>
      <w:sz w:val="24"/>
      <w:lang w:eastAsia="ru-RU"/>
    </w:rPr>
  </w:style>
  <w:style w:type="paragraph" w:styleId="904">
    <w:name w:val="Normal (Web)"/>
    <w:basedOn w:val="702"/>
    <w:uiPriority w:val="99"/>
    <w:unhideWhenUsed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905">
    <w:name w:val="Balloon Text"/>
    <w:basedOn w:val="702"/>
    <w:link w:val="906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906" w:customStyle="1">
    <w:name w:val="Текст выноски Знак"/>
    <w:basedOn w:val="712"/>
    <w:link w:val="905"/>
    <w:uiPriority w:val="99"/>
    <w:semiHidden/>
    <w:rPr>
      <w:rFonts w:ascii="Segoe UI" w:hAnsi="Segoe UI" w:cs="Segoe UI" w:eastAsiaTheme="minorEastAsia"/>
      <w:sz w:val="18"/>
      <w:szCs w:val="18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45C51D-7E65-486F-909E-1A8B5AC40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Диана Левоновна</dc:creator>
  <cp:keywords/>
  <dc:description/>
  <cp:lastModifiedBy>lisova</cp:lastModifiedBy>
  <cp:revision>45</cp:revision>
  <dcterms:created xsi:type="dcterms:W3CDTF">2025-10-30T13:59:00Z</dcterms:created>
  <dcterms:modified xsi:type="dcterms:W3CDTF">2026-07-31T12:18:31Z</dcterms:modified>
</cp:coreProperties>
</file>